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2749231</wp:posOffset>
            </wp:positionH>
            <wp:positionV relativeFrom="paragraph">
              <wp:posOffset>-130175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E43C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D633FD">
        <w:rPr>
          <w:rFonts w:ascii="Times New Roman" w:hAnsi="Times New Roman" w:cs="Times New Roman"/>
          <w:sz w:val="24"/>
          <w:szCs w:val="24"/>
        </w:rPr>
        <w:t xml:space="preserve">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80362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«Молодёжь Зиминского района»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83459" w:rsidRPr="00407D1F" w:rsidRDefault="00583459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59" w:rsidRPr="00583459" w:rsidRDefault="00583459" w:rsidP="00583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«Молодёжь Зиминского района», утвержденную постановлением администрации Зиминского районного муниципального образования» от 09.11.2020 г. № 930 (далее – муниципальная программа), следующие изменения:</w:t>
      </w:r>
    </w:p>
    <w:p w:rsidR="00583459" w:rsidRDefault="00583459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1.1. в паспорте муниципальной программы строку «</w:t>
      </w:r>
      <w:r w:rsidRPr="00583459">
        <w:rPr>
          <w:rFonts w:ascii="Times New Roman" w:hAnsi="Times New Roman" w:cs="Times New Roman"/>
          <w:sz w:val="24"/>
          <w:szCs w:val="24"/>
        </w:rPr>
        <w:t>Объёмы и источники финансирования муниципальной программы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583459" w:rsidRPr="00583459" w:rsidRDefault="00583459" w:rsidP="00583459">
      <w:pPr>
        <w:pStyle w:val="ConsPlusCell"/>
        <w:tabs>
          <w:tab w:val="left" w:pos="0"/>
          <w:tab w:val="left" w:pos="132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851"/>
        <w:gridCol w:w="1134"/>
        <w:gridCol w:w="1275"/>
        <w:gridCol w:w="1134"/>
        <w:gridCol w:w="1134"/>
        <w:gridCol w:w="993"/>
        <w:gridCol w:w="1153"/>
      </w:tblGrid>
      <w:tr w:rsidR="00583459" w:rsidRPr="00583459" w:rsidTr="00D633FD">
        <w:trPr>
          <w:gridAfter w:val="1"/>
          <w:wAfter w:w="1153" w:type="dxa"/>
          <w:cantSplit/>
          <w:trHeight w:val="63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Объемы и источники финансирования муниципальной программы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Объем финансирования муниципальной программы «Молодёжь Зиминского района»     составляет:</w:t>
            </w:r>
          </w:p>
        </w:tc>
      </w:tr>
      <w:tr w:rsidR="00583459" w:rsidRPr="00583459" w:rsidTr="00583459">
        <w:trPr>
          <w:gridAfter w:val="1"/>
          <w:wAfter w:w="1153" w:type="dxa"/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Всего</w:t>
            </w:r>
          </w:p>
          <w:p w:rsidR="00583459" w:rsidRPr="00583459" w:rsidRDefault="00583459" w:rsidP="00372E92">
            <w:pPr>
              <w:pStyle w:val="ac"/>
              <w:jc w:val="both"/>
            </w:pPr>
            <w:r w:rsidRPr="00583459">
              <w:lastRenderedPageBreak/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lastRenderedPageBreak/>
              <w:t>В том числе:</w:t>
            </w:r>
          </w:p>
        </w:tc>
      </w:tr>
      <w:tr w:rsidR="00583459" w:rsidRPr="00583459" w:rsidTr="0040520D">
        <w:trPr>
          <w:gridAfter w:val="1"/>
          <w:wAfter w:w="1153" w:type="dxa"/>
          <w:cantSplit/>
          <w:trHeight w:val="84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Внебюджетные источники</w:t>
            </w: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344,698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181, 069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163,629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433,310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263,310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170,0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150,0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150,0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190,0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190,0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D633FD">
        <w:trPr>
          <w:cantSplit/>
          <w:trHeight w:val="310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DF039D" w:rsidP="00372E92">
            <w:pPr>
              <w:pStyle w:val="ac"/>
              <w:jc w:val="both"/>
            </w:pPr>
            <w:r>
              <w:t>154</w:t>
            </w:r>
            <w:r w:rsidR="00583459" w:rsidRPr="00583459">
              <w:t>3,008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444,379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DF039D" w:rsidP="00372E92">
            <w:pPr>
              <w:pStyle w:val="ac"/>
              <w:jc w:val="both"/>
            </w:pPr>
            <w:r>
              <w:t>1 09</w:t>
            </w:r>
            <w:r w:rsidR="00583459" w:rsidRPr="00583459">
              <w:t>8,629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59" w:rsidRPr="00583459" w:rsidRDefault="004F7B9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>1.2. таблицу 1 раздела 7 «Сроки реализации и ресурсное обеспечение муниципальной программы» 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992"/>
        <w:gridCol w:w="993"/>
        <w:gridCol w:w="1134"/>
        <w:gridCol w:w="1134"/>
      </w:tblGrid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Сроки реализации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</w:pPr>
            <w:r w:rsidRPr="00583459">
              <w:t>Всего по программе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>2021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 xml:space="preserve">2022 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 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2023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год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2024</w:t>
            </w:r>
            <w:r>
              <w:t xml:space="preserve"> 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2025</w:t>
            </w:r>
          </w:p>
          <w:p w:rsidR="00583459" w:rsidRPr="00583459" w:rsidRDefault="00583459" w:rsidP="00D633FD">
            <w:pPr>
              <w:pStyle w:val="ac"/>
            </w:pPr>
            <w:r>
              <w:t>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2026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Общий объем финансирования в том числе:</w:t>
            </w:r>
          </w:p>
        </w:tc>
        <w:tc>
          <w:tcPr>
            <w:tcW w:w="1276" w:type="dxa"/>
          </w:tcPr>
          <w:p w:rsidR="00583459" w:rsidRPr="00583459" w:rsidRDefault="00C5520D" w:rsidP="00D633FD">
            <w:pPr>
              <w:pStyle w:val="ac"/>
              <w:rPr>
                <w:highlight w:val="yellow"/>
              </w:rPr>
            </w:pPr>
            <w:r>
              <w:t>154</w:t>
            </w:r>
            <w:r w:rsidR="00583459" w:rsidRPr="00583459">
              <w:t>3,008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  <w:r w:rsidRPr="00583459">
              <w:t>344,698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433,310</w:t>
            </w:r>
          </w:p>
          <w:p w:rsidR="00583459" w:rsidRPr="00583459" w:rsidRDefault="00583459" w:rsidP="00D633FD">
            <w:pPr>
              <w:pStyle w:val="ac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</w:pPr>
            <w:r>
              <w:t>22</w:t>
            </w:r>
            <w:r w:rsidR="00583459" w:rsidRPr="00583459">
              <w:t>5,0</w:t>
            </w:r>
            <w:r w:rsidR="00E43C08">
              <w:t>00</w:t>
            </w:r>
          </w:p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150,0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190,0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200,0</w:t>
            </w:r>
            <w:r w:rsidR="00E43C08">
              <w:t>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Областной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  <w:rPr>
                <w:highlight w:val="yellow"/>
              </w:rPr>
            </w:pPr>
            <w:r w:rsidRPr="00583459">
              <w:t>444,379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181,069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263,310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1276" w:type="dxa"/>
          </w:tcPr>
          <w:p w:rsidR="00583459" w:rsidRPr="00583459" w:rsidRDefault="00C5520D" w:rsidP="00D633FD">
            <w:pPr>
              <w:pStyle w:val="ac"/>
              <w:jc w:val="both"/>
              <w:rPr>
                <w:highlight w:val="yellow"/>
              </w:rPr>
            </w:pPr>
            <w:r>
              <w:t>109</w:t>
            </w:r>
            <w:r w:rsidR="00583459" w:rsidRPr="00583459">
              <w:t>8,629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163,629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170,0</w:t>
            </w:r>
            <w:r w:rsidR="00C5520D"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150,0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190,0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200,0</w:t>
            </w:r>
            <w:r w:rsidR="00E43C08">
              <w:t>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40520D" w:rsidP="00D633FD">
            <w:pPr>
              <w:pStyle w:val="ac"/>
              <w:jc w:val="both"/>
            </w:pPr>
            <w:r>
              <w:t>Внебюджет</w:t>
            </w:r>
            <w:r w:rsidR="00583459" w:rsidRPr="00583459">
              <w:t>ные источники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</w:tbl>
    <w:p w:rsidR="00583459" w:rsidRPr="00583459" w:rsidRDefault="00E43C08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раздел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8 «</w:t>
      </w:r>
      <w:r w:rsidR="00583459" w:rsidRPr="00583459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D633FD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Зиминского районного муниципального обра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>зования от 27.09.2023 г. № 346 «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 Зиминского районн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>ого муниципального образования «Молодёжь Зиминского района»»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3459" w:rsidRPr="00583459" w:rsidRDefault="00D633FD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0520D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459" w:rsidRPr="0058345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3C32CE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459" w:rsidRPr="0058345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социальным вопросам Ю.А.Чемезова </w:t>
      </w:r>
    </w:p>
    <w:p w:rsidR="00583459" w:rsidRPr="003C32CE" w:rsidRDefault="00583459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583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583459">
      <w:pPr>
        <w:spacing w:after="0" w:line="240" w:lineRule="auto"/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E91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92A" w:rsidRPr="000B692A" w:rsidRDefault="000B692A" w:rsidP="000B692A">
      <w:pPr>
        <w:pStyle w:val="ac"/>
        <w:jc w:val="right"/>
      </w:pPr>
      <w:r w:rsidRPr="000B692A">
        <w:lastRenderedPageBreak/>
        <w:t xml:space="preserve">Приложение </w:t>
      </w:r>
    </w:p>
    <w:p w:rsidR="000B692A" w:rsidRPr="000B692A" w:rsidRDefault="000B692A" w:rsidP="000B692A">
      <w:pPr>
        <w:pStyle w:val="ac"/>
        <w:jc w:val="right"/>
      </w:pPr>
      <w:r w:rsidRPr="000B692A">
        <w:t>к постановлению администрации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Зиминского районного </w:t>
      </w:r>
    </w:p>
    <w:p w:rsidR="000B692A" w:rsidRPr="000B692A" w:rsidRDefault="000B692A" w:rsidP="000B692A">
      <w:pPr>
        <w:pStyle w:val="ac"/>
        <w:jc w:val="right"/>
      </w:pPr>
      <w:r w:rsidRPr="000B692A">
        <w:t>муниципального образования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                                                                                                                       от __________   № ____</w:t>
      </w:r>
    </w:p>
    <w:p w:rsidR="000B692A" w:rsidRPr="000B692A" w:rsidRDefault="000B692A" w:rsidP="000B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2A" w:rsidRPr="000B692A" w:rsidRDefault="000B692A" w:rsidP="000B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0B692A" w:rsidRDefault="000B692A" w:rsidP="000B692A">
      <w:pPr>
        <w:pStyle w:val="ac"/>
        <w:widowControl w:val="0"/>
        <w:suppressAutoHyphens/>
        <w:jc w:val="right"/>
        <w:rPr>
          <w:color w:val="000000"/>
        </w:rPr>
      </w:pPr>
      <w:r w:rsidRPr="000B692A">
        <w:rPr>
          <w:color w:val="000000"/>
        </w:rPr>
        <w:t>Таблица 2</w:t>
      </w:r>
    </w:p>
    <w:p w:rsidR="000B692A" w:rsidRPr="000B692A" w:rsidRDefault="000B692A" w:rsidP="000B692A">
      <w:pPr>
        <w:pStyle w:val="ac"/>
        <w:widowControl w:val="0"/>
        <w:suppressAutoHyphens/>
        <w:jc w:val="right"/>
      </w:pPr>
    </w:p>
    <w:p w:rsidR="000B692A" w:rsidRPr="000B692A" w:rsidRDefault="000B692A" w:rsidP="000B69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22"/>
        <w:gridCol w:w="26"/>
        <w:gridCol w:w="6"/>
        <w:gridCol w:w="1984"/>
        <w:gridCol w:w="1983"/>
        <w:gridCol w:w="1280"/>
        <w:gridCol w:w="1705"/>
        <w:gridCol w:w="1559"/>
        <w:gridCol w:w="1370"/>
        <w:gridCol w:w="1423"/>
      </w:tblGrid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№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Наименование  муниципальной программы,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Результат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Объем финансирования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 т.ч.планируемое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( тыс.руб.) из:</w:t>
            </w:r>
          </w:p>
        </w:tc>
      </w:tr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Молодежь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Зиминского района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Комитет по культуре</w:t>
            </w:r>
          </w:p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Областной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Внебюджетные источники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3,008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8,629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rPr>
          <w:trHeight w:val="547"/>
        </w:trPr>
        <w:tc>
          <w:tcPr>
            <w:tcW w:w="15092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94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8, 008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444, 379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0B692A" w:rsidRPr="000B692A">
              <w:t>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41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lang w:eastAsia="en-US"/>
              </w:rPr>
            </w:pPr>
            <w:r w:rsidRPr="000B692A"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300,0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300,0</w:t>
            </w:r>
            <w:r w:rsidR="00AB45B1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 xml:space="preserve">Увеличение количества молодёжи, участвующей в деятельности молодёжных общественных объединений, поддержка, поощрение </w:t>
            </w:r>
            <w:r w:rsidRPr="000B692A">
              <w:lastRenderedPageBreak/>
              <w:t>активистов.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lastRenderedPageBreak/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145,0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145,0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68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b/>
              </w:rPr>
            </w:pPr>
            <w:r w:rsidRPr="000B692A"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50,0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Tr="007F41F6">
        <w:trPr>
          <w:trHeight w:val="3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E27393" w:rsidRDefault="000B692A" w:rsidP="008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spacing w:line="256" w:lineRule="auto"/>
              <w:jc w:val="both"/>
            </w:pPr>
            <w:r w:rsidRPr="00FD1C31"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0B692A" w:rsidRPr="00FD1C31" w:rsidRDefault="000B692A" w:rsidP="00855BD1">
            <w:pPr>
              <w:pStyle w:val="ac"/>
              <w:spacing w:line="256" w:lineRule="auto"/>
              <w:jc w:val="both"/>
            </w:pPr>
          </w:p>
          <w:p w:rsidR="000B692A" w:rsidRDefault="000B692A" w:rsidP="00855BD1">
            <w:pPr>
              <w:pStyle w:val="ac"/>
              <w:spacing w:line="256" w:lineRule="auto"/>
              <w:jc w:val="both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spacing w:line="256" w:lineRule="auto"/>
              <w:rPr>
                <w:b/>
              </w:rPr>
            </w:pPr>
            <w:r w:rsidRPr="00FD1C31"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  <w:r w:rsidRPr="00FD1C31">
              <w:rPr>
                <w:rFonts w:cs="Arial"/>
              </w:rPr>
              <w:t>Отдел по ФКС и МП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F9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F936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F936E3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100,0</w:t>
            </w:r>
            <w:r w:rsidR="00F936E3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0B692A" w:rsidRDefault="000B692A" w:rsidP="000B692A">
      <w:pPr>
        <w:sectPr w:rsidR="000B6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/>
    <w:sectPr w:rsidR="00A02189" w:rsidSect="000B692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E0" w:rsidRDefault="00D46DE0" w:rsidP="008876A9">
      <w:pPr>
        <w:spacing w:after="0" w:line="240" w:lineRule="auto"/>
      </w:pPr>
      <w:r>
        <w:separator/>
      </w:r>
    </w:p>
  </w:endnote>
  <w:endnote w:type="continuationSeparator" w:id="1">
    <w:p w:rsidR="00D46DE0" w:rsidRDefault="00D46DE0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E0" w:rsidRDefault="00D46DE0" w:rsidP="008876A9">
      <w:pPr>
        <w:spacing w:after="0" w:line="240" w:lineRule="auto"/>
      </w:pPr>
      <w:r>
        <w:separator/>
      </w:r>
    </w:p>
  </w:footnote>
  <w:footnote w:type="continuationSeparator" w:id="1">
    <w:p w:rsidR="00D46DE0" w:rsidRDefault="00D46DE0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D4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89"/>
    <w:rsid w:val="00031A59"/>
    <w:rsid w:val="00034166"/>
    <w:rsid w:val="00035705"/>
    <w:rsid w:val="00052D31"/>
    <w:rsid w:val="000546BD"/>
    <w:rsid w:val="000758EB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923B4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6627"/>
    <w:rsid w:val="00316D03"/>
    <w:rsid w:val="003346AA"/>
    <w:rsid w:val="00335312"/>
    <w:rsid w:val="003373FE"/>
    <w:rsid w:val="00372E92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D59B1"/>
    <w:rsid w:val="003E4752"/>
    <w:rsid w:val="004003C5"/>
    <w:rsid w:val="0040520D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65B02"/>
    <w:rsid w:val="004724EA"/>
    <w:rsid w:val="00476079"/>
    <w:rsid w:val="00482BC7"/>
    <w:rsid w:val="00484494"/>
    <w:rsid w:val="00486C1A"/>
    <w:rsid w:val="00495453"/>
    <w:rsid w:val="004E77C5"/>
    <w:rsid w:val="004F68C6"/>
    <w:rsid w:val="004F7B99"/>
    <w:rsid w:val="00502475"/>
    <w:rsid w:val="00503FF1"/>
    <w:rsid w:val="005132D1"/>
    <w:rsid w:val="005310C8"/>
    <w:rsid w:val="00532F79"/>
    <w:rsid w:val="00547A97"/>
    <w:rsid w:val="0058345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A1826"/>
    <w:rsid w:val="006C03B7"/>
    <w:rsid w:val="006C57C0"/>
    <w:rsid w:val="006E3A5A"/>
    <w:rsid w:val="006F0698"/>
    <w:rsid w:val="006F0AE7"/>
    <w:rsid w:val="006F71F3"/>
    <w:rsid w:val="007117E0"/>
    <w:rsid w:val="007463ED"/>
    <w:rsid w:val="00775940"/>
    <w:rsid w:val="0077792B"/>
    <w:rsid w:val="00782198"/>
    <w:rsid w:val="00792745"/>
    <w:rsid w:val="00792C3C"/>
    <w:rsid w:val="007A2569"/>
    <w:rsid w:val="007A3EC5"/>
    <w:rsid w:val="007A7527"/>
    <w:rsid w:val="007B1059"/>
    <w:rsid w:val="007C43BA"/>
    <w:rsid w:val="007C4496"/>
    <w:rsid w:val="007F0B93"/>
    <w:rsid w:val="007F41F6"/>
    <w:rsid w:val="007F6355"/>
    <w:rsid w:val="00801ACF"/>
    <w:rsid w:val="00801C3B"/>
    <w:rsid w:val="008213DE"/>
    <w:rsid w:val="00831F80"/>
    <w:rsid w:val="00873073"/>
    <w:rsid w:val="008876A9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62C7A"/>
    <w:rsid w:val="0099041B"/>
    <w:rsid w:val="00996843"/>
    <w:rsid w:val="0099705B"/>
    <w:rsid w:val="009A5F56"/>
    <w:rsid w:val="009B28B8"/>
    <w:rsid w:val="009D40B2"/>
    <w:rsid w:val="009D4170"/>
    <w:rsid w:val="009D4F3C"/>
    <w:rsid w:val="009D6528"/>
    <w:rsid w:val="00A02189"/>
    <w:rsid w:val="00A075DC"/>
    <w:rsid w:val="00A17F50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B45B1"/>
    <w:rsid w:val="00AE3644"/>
    <w:rsid w:val="00B056F4"/>
    <w:rsid w:val="00B16484"/>
    <w:rsid w:val="00B173CB"/>
    <w:rsid w:val="00B21EFC"/>
    <w:rsid w:val="00B23A5D"/>
    <w:rsid w:val="00B25199"/>
    <w:rsid w:val="00B33452"/>
    <w:rsid w:val="00B4101F"/>
    <w:rsid w:val="00B424ED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3CC0"/>
    <w:rsid w:val="00C10742"/>
    <w:rsid w:val="00C12D39"/>
    <w:rsid w:val="00C14DE2"/>
    <w:rsid w:val="00C234A5"/>
    <w:rsid w:val="00C266F1"/>
    <w:rsid w:val="00C3222C"/>
    <w:rsid w:val="00C32C55"/>
    <w:rsid w:val="00C36BD2"/>
    <w:rsid w:val="00C43DE0"/>
    <w:rsid w:val="00C44D44"/>
    <w:rsid w:val="00C45521"/>
    <w:rsid w:val="00C5520D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26484"/>
    <w:rsid w:val="00D30212"/>
    <w:rsid w:val="00D37861"/>
    <w:rsid w:val="00D46DE0"/>
    <w:rsid w:val="00D608DE"/>
    <w:rsid w:val="00D633FD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DF039D"/>
    <w:rsid w:val="00E00F7E"/>
    <w:rsid w:val="00E014EF"/>
    <w:rsid w:val="00E04390"/>
    <w:rsid w:val="00E12D9C"/>
    <w:rsid w:val="00E24B96"/>
    <w:rsid w:val="00E27393"/>
    <w:rsid w:val="00E34870"/>
    <w:rsid w:val="00E41B9D"/>
    <w:rsid w:val="00E43C08"/>
    <w:rsid w:val="00E47F03"/>
    <w:rsid w:val="00E61251"/>
    <w:rsid w:val="00E719D1"/>
    <w:rsid w:val="00E83CE4"/>
    <w:rsid w:val="00E91765"/>
    <w:rsid w:val="00EA150E"/>
    <w:rsid w:val="00ED30E2"/>
    <w:rsid w:val="00ED4C2A"/>
    <w:rsid w:val="00EE3E2B"/>
    <w:rsid w:val="00EE444F"/>
    <w:rsid w:val="00EF531D"/>
    <w:rsid w:val="00F03C2E"/>
    <w:rsid w:val="00F077D4"/>
    <w:rsid w:val="00F241E1"/>
    <w:rsid w:val="00F24223"/>
    <w:rsid w:val="00F250E2"/>
    <w:rsid w:val="00F34467"/>
    <w:rsid w:val="00F57BF5"/>
    <w:rsid w:val="00F64F9A"/>
    <w:rsid w:val="00F67B6F"/>
    <w:rsid w:val="00F936E3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D440EAF0B23A71A89CA8FDA71F590866C37FC032ADC59D80BDC048208401AF111E98480B5wE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1F2-1BF1-4AA4-BB8F-9D4FFE0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63</cp:revision>
  <cp:lastPrinted>2023-11-16T00:52:00Z</cp:lastPrinted>
  <dcterms:created xsi:type="dcterms:W3CDTF">2022-10-26T01:13:00Z</dcterms:created>
  <dcterms:modified xsi:type="dcterms:W3CDTF">2023-11-23T03:46:00Z</dcterms:modified>
</cp:coreProperties>
</file>